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9"/>
      </w:pPr>
      <w:r>
        <w:t>• Pursuing a Second Major in Computer Science and a Minor in Mathematics.</w:t>
      </w:r>
    </w:p>
    <w:p>
      <w:pPr>
        <w:spacing w:before="0" w:after="0"/>
        <w:ind w:left="780" w:hanging="119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9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9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  <w:ind w:left="780" w:hanging="119"/>
      </w:pPr>
      <w:r>
        <w:t>• Train UNet and other CNN architectures for single-image super-resolution, upscaling frames 4 times and lifting PSNR and SSIM so a low-cost camera reaches frame quality on par with premium sensors.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9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9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9"/>
      </w:pPr>
      <w:r>
        <w:t>• Trained regional engineering teams across Asia and Europe on repeatable AI workflows spanning 7 areas: prompting, model selection, benchmarks, cost awareness, agents, validation, and safeguards.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9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9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Lead, Maritime Deficiency Severity Forecasting: Maritime Hackathon</w:t>
      </w:r>
      <w:r>
        <w:rPr>
          <w:b/>
        </w:rPr>
        <w:tab/>
        <w:t>Jun 2025</w:t>
      </w:r>
    </w:p>
    <w:p>
      <w:pPr>
        <w:spacing w:before="0" w:after="0"/>
        <w:ind w:left="780" w:hanging="119"/>
      </w:pPr>
      <w:r>
        <w:t>• Led model training for a maritime-inspection NLP system, fine-tuning a 109M-parameter BERT with DNN layers and gradient clipping on the ASPIRE 2A supercomputer.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Python, PyTorch, BERT, DNN, RAG, AI agents, GPT-4, Gemini, Claude Code, ChatGPT, Codex, ComfyUI, SEALION, ONNX, Chroma, local LLM serving (llama.cpp), vector search, model evaluation, NLP; vision: camera ISP, super-resolution, image restoration, camera models and calibration, fundamental and essential matrices, epipolar geometry, absolute pose estimation, three-view geometry, structure-from-motion (SfM) with bundle adjustment, two- and multi-view stereo, generalised camera models; HPC: ASPIRE 2A, CUDA; deep RL (PPO, A2C, DDPG, DQN)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AI Engineer Resume</dc:title>
  <dc:subject>AI Engineer Resume</dc:subject>
  <dc:creator>Rahul Mitra</dc:creator>
  <cp:keywords>rahul-mitra.com, AI Engineer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